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jc w:val="center"/>
        <w:tblCellMar>
          <w:top w:w="15" w:type="dxa"/>
          <w:left w:w="15" w:type="dxa"/>
          <w:bottom w:w="15" w:type="dxa"/>
          <w:right w:w="15" w:type="dxa"/>
        </w:tblCellMar>
        <w:tblLook w:val="04A0" w:firstRow="1" w:lastRow="0" w:firstColumn="1" w:lastColumn="0" w:noHBand="0" w:noVBand="1"/>
      </w:tblPr>
      <w:tblGrid>
        <w:gridCol w:w="5835"/>
      </w:tblGrid>
      <w:tr w:rsidR="00C853A7" w:rsidRPr="00C853A7" w:rsidTr="00C853A7">
        <w:trPr>
          <w:jc w:val="center"/>
        </w:trPr>
        <w:tc>
          <w:tcPr>
            <w:tcW w:w="0" w:type="auto"/>
            <w:vAlign w:val="center"/>
            <w:hideMark/>
          </w:tcPr>
          <w:p w:rsidR="00C853A7" w:rsidRPr="00C853A7" w:rsidRDefault="00C853A7" w:rsidP="00C853A7">
            <w:r w:rsidRPr="00C853A7">
              <w:rPr>
                <w:rFonts w:hint="eastAsia"/>
              </w:rPr>
              <w:t>中国新闻奖参评作品推荐表</w:t>
            </w:r>
            <w:r w:rsidRPr="00C853A7">
              <w:rPr>
                <w:rFonts w:hint="eastAsia"/>
              </w:rPr>
              <w:t xml:space="preserve"> </w:t>
            </w:r>
          </w:p>
        </w:tc>
      </w:tr>
    </w:tbl>
    <w:p w:rsidR="00C853A7" w:rsidRPr="00C853A7" w:rsidRDefault="00C853A7" w:rsidP="00C853A7">
      <w:pPr>
        <w:rPr>
          <w:vanish/>
        </w:rPr>
      </w:pPr>
    </w:p>
    <w:tbl>
      <w:tblPr>
        <w:tblW w:w="3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4"/>
        <w:gridCol w:w="2486"/>
        <w:gridCol w:w="562"/>
        <w:gridCol w:w="485"/>
        <w:gridCol w:w="985"/>
      </w:tblGrid>
      <w:tr w:rsidR="00C853A7" w:rsidRPr="00C853A7" w:rsidTr="00C853A7">
        <w:trPr>
          <w:trHeight w:val="750"/>
          <w:jc w:val="center"/>
        </w:trPr>
        <w:tc>
          <w:tcPr>
            <w:tcW w:w="2100" w:type="dxa"/>
            <w:vMerge w:val="restart"/>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作品标题</w:t>
            </w:r>
            <w:r w:rsidRPr="00C853A7">
              <w:rPr>
                <w:rFonts w:hint="eastAsia"/>
              </w:rPr>
              <w:t xml:space="preserve"> </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失控的“炸药包”</w:t>
            </w:r>
            <w:r w:rsidRPr="00C853A7">
              <w:rPr>
                <w:rFonts w:hint="eastAsia"/>
              </w:rPr>
              <w:t xml:space="preserve"> </w:t>
            </w:r>
          </w:p>
        </w:tc>
        <w:tc>
          <w:tcPr>
            <w:tcW w:w="1500" w:type="dxa"/>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参评项目</w:t>
            </w:r>
            <w:r w:rsidRPr="00C853A7">
              <w:rPr>
                <w:rFonts w:hint="eastAsia"/>
              </w:rPr>
              <w:t xml:space="preserve"> </w:t>
            </w:r>
          </w:p>
        </w:tc>
        <w:tc>
          <w:tcPr>
            <w:tcW w:w="2955" w:type="dxa"/>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调查性报道</w:t>
            </w:r>
            <w:r w:rsidRPr="00C853A7">
              <w:rPr>
                <w:rFonts w:hint="eastAsia"/>
              </w:rPr>
              <w:t xml:space="preserve"> </w:t>
            </w:r>
          </w:p>
        </w:tc>
      </w:tr>
      <w:tr w:rsidR="00C853A7" w:rsidRPr="00C853A7" w:rsidTr="00C853A7">
        <w:trPr>
          <w:trHeight w:val="750"/>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体裁</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调查性报道</w:t>
            </w:r>
            <w:r w:rsidRPr="00C853A7">
              <w:rPr>
                <w:rFonts w:hint="eastAsia"/>
              </w:rPr>
              <w:t xml:space="preserve"> </w:t>
            </w:r>
          </w:p>
        </w:tc>
      </w:tr>
      <w:tr w:rsidR="00C853A7" w:rsidRPr="00C853A7" w:rsidTr="00C853A7">
        <w:trPr>
          <w:trHeight w:val="750"/>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语种</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中文</w:t>
            </w:r>
            <w:r w:rsidRPr="00C853A7">
              <w:rPr>
                <w:rFonts w:hint="eastAsia"/>
              </w:rPr>
              <w:t xml:space="preserve">  </w:t>
            </w:r>
          </w:p>
        </w:tc>
      </w:tr>
      <w:tr w:rsidR="00C853A7" w:rsidRPr="00C853A7" w:rsidTr="00C853A7">
        <w:trPr>
          <w:trHeight w:val="7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作</w:t>
            </w:r>
            <w:r w:rsidRPr="00C853A7">
              <w:rPr>
                <w:rFonts w:hint="eastAsia"/>
              </w:rPr>
              <w:t xml:space="preserve"> </w:t>
            </w:r>
            <w:r w:rsidRPr="00C853A7">
              <w:rPr>
                <w:rFonts w:hint="eastAsia"/>
              </w:rPr>
              <w:t>者</w:t>
            </w:r>
            <w:r w:rsidRPr="00C853A7">
              <w:rPr>
                <w:rFonts w:hint="eastAsia"/>
              </w:rPr>
              <w:br/>
            </w:r>
            <w:r w:rsidRPr="00C853A7">
              <w:rPr>
                <w:rFonts w:hint="eastAsia"/>
              </w:rPr>
              <w:t>（主创人员）</w:t>
            </w:r>
            <w:r w:rsidRPr="00C853A7">
              <w:rPr>
                <w:rFonts w:hint="eastAsia"/>
              </w:rPr>
              <w:t xml:space="preserve"> </w:t>
            </w:r>
          </w:p>
        </w:tc>
        <w:tc>
          <w:tcPr>
            <w:tcW w:w="3285" w:type="dxa"/>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集体</w:t>
            </w:r>
            <w:r w:rsidRPr="00C853A7">
              <w:rPr>
                <w:rFonts w:hint="eastAsia"/>
              </w:rPr>
              <w:t xml:space="preserve"> </w:t>
            </w:r>
          </w:p>
        </w:tc>
        <w:tc>
          <w:tcPr>
            <w:tcW w:w="1530" w:type="dxa"/>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编辑</w:t>
            </w:r>
            <w:r w:rsidRPr="00C853A7">
              <w:rPr>
                <w:rFonts w:hint="eastAsia"/>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谢良</w:t>
            </w:r>
            <w:r w:rsidRPr="00C853A7">
              <w:rPr>
                <w:rFonts w:hint="eastAsia"/>
              </w:rPr>
              <w:t xml:space="preserve"> </w:t>
            </w:r>
          </w:p>
        </w:tc>
      </w:tr>
      <w:tr w:rsidR="00C853A7" w:rsidRPr="00C853A7" w:rsidTr="00C853A7">
        <w:trPr>
          <w:trHeight w:val="7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刊播单位</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新华通讯社</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首发日期</w:t>
            </w:r>
            <w:r w:rsidRPr="00C853A7">
              <w:rPr>
                <w:rFonts w:hint="eastAsia"/>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2015-08-19 </w:t>
            </w:r>
          </w:p>
        </w:tc>
      </w:tr>
      <w:tr w:rsidR="00C853A7" w:rsidRPr="00C853A7" w:rsidTr="00C853A7">
        <w:trPr>
          <w:trHeight w:val="7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刊播版面</w:t>
            </w:r>
            <w:r w:rsidRPr="00C853A7">
              <w:rPr>
                <w:rFonts w:hint="eastAsia"/>
              </w:rPr>
              <w:br/>
              <w:t>(</w:t>
            </w:r>
            <w:r w:rsidRPr="00C853A7">
              <w:rPr>
                <w:rFonts w:hint="eastAsia"/>
              </w:rPr>
              <w:t>名称和版次</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作品字数</w:t>
            </w:r>
            <w:r w:rsidRPr="00C853A7">
              <w:rPr>
                <w:rFonts w:hint="eastAsia"/>
              </w:rPr>
              <w:br/>
              <w:t>(</w:t>
            </w:r>
            <w:r w:rsidRPr="00C853A7">
              <w:rPr>
                <w:rFonts w:hint="eastAsia"/>
              </w:rPr>
              <w:t>时长</w:t>
            </w:r>
            <w:r w:rsidRPr="00C853A7">
              <w:rPr>
                <w:rFonts w:hint="eastAsia"/>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3329 </w:t>
            </w:r>
          </w:p>
        </w:tc>
      </w:tr>
      <w:tr w:rsidR="00C853A7" w:rsidRPr="00C853A7" w:rsidTr="00C853A7">
        <w:trPr>
          <w:trHeight w:val="22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C853A7" w:rsidRDefault="00C853A7" w:rsidP="00C853A7">
            <w:r w:rsidRPr="00C853A7">
              <w:rPr>
                <w:rFonts w:hint="eastAsia"/>
              </w:rPr>
              <w:t>︵</w:t>
            </w:r>
            <w:r w:rsidRPr="00C853A7">
              <w:rPr>
                <w:rFonts w:hint="eastAsia"/>
              </w:rPr>
              <w:t xml:space="preserve"> </w:t>
            </w:r>
            <w:r w:rsidRPr="00C853A7">
              <w:rPr>
                <w:rFonts w:hint="eastAsia"/>
              </w:rPr>
              <w:br/>
            </w:r>
            <w:r w:rsidRPr="00C853A7">
              <w:rPr>
                <w:rFonts w:hint="eastAsia"/>
              </w:rPr>
              <w:t>采</w:t>
            </w:r>
            <w:r w:rsidRPr="00C853A7">
              <w:rPr>
                <w:rFonts w:hint="eastAsia"/>
              </w:rPr>
              <w:t xml:space="preserve"> </w:t>
            </w:r>
            <w:r w:rsidRPr="00C853A7">
              <w:rPr>
                <w:rFonts w:hint="eastAsia"/>
              </w:rPr>
              <w:t>作</w:t>
            </w:r>
            <w:r w:rsidRPr="00C853A7">
              <w:rPr>
                <w:rFonts w:hint="eastAsia"/>
              </w:rPr>
              <w:t xml:space="preserve"> </w:t>
            </w:r>
            <w:r w:rsidRPr="00C853A7">
              <w:rPr>
                <w:rFonts w:hint="eastAsia"/>
              </w:rPr>
              <w:br/>
            </w:r>
            <w:r w:rsidRPr="00C853A7">
              <w:rPr>
                <w:rFonts w:hint="eastAsia"/>
              </w:rPr>
              <w:t>编</w:t>
            </w:r>
            <w:r w:rsidRPr="00C853A7">
              <w:rPr>
                <w:rFonts w:hint="eastAsia"/>
              </w:rPr>
              <w:t xml:space="preserve"> </w:t>
            </w:r>
            <w:r w:rsidRPr="00C853A7">
              <w:rPr>
                <w:rFonts w:hint="eastAsia"/>
              </w:rPr>
              <w:t>品</w:t>
            </w:r>
            <w:r w:rsidRPr="00C853A7">
              <w:rPr>
                <w:rFonts w:hint="eastAsia"/>
              </w:rPr>
              <w:t xml:space="preserve"> </w:t>
            </w:r>
            <w:r w:rsidRPr="00C853A7">
              <w:rPr>
                <w:rFonts w:hint="eastAsia"/>
              </w:rPr>
              <w:br/>
            </w:r>
            <w:r w:rsidRPr="00C853A7">
              <w:rPr>
                <w:rFonts w:hint="eastAsia"/>
              </w:rPr>
              <w:t>过</w:t>
            </w:r>
            <w:r w:rsidRPr="00C853A7">
              <w:rPr>
                <w:rFonts w:hint="eastAsia"/>
              </w:rPr>
              <w:t xml:space="preserve"> </w:t>
            </w:r>
            <w:r w:rsidRPr="00C853A7">
              <w:rPr>
                <w:rFonts w:hint="eastAsia"/>
              </w:rPr>
              <w:t>简</w:t>
            </w:r>
            <w:r w:rsidRPr="00C853A7">
              <w:rPr>
                <w:rFonts w:hint="eastAsia"/>
              </w:rPr>
              <w:t xml:space="preserve"> </w:t>
            </w:r>
            <w:r w:rsidRPr="00C853A7">
              <w:rPr>
                <w:rFonts w:hint="eastAsia"/>
              </w:rPr>
              <w:br/>
            </w:r>
            <w:r w:rsidRPr="00C853A7">
              <w:rPr>
                <w:rFonts w:hint="eastAsia"/>
              </w:rPr>
              <w:t>程</w:t>
            </w:r>
            <w:r w:rsidRPr="00C853A7">
              <w:rPr>
                <w:rFonts w:hint="eastAsia"/>
              </w:rPr>
              <w:t xml:space="preserve"> </w:t>
            </w:r>
            <w:proofErr w:type="gramStart"/>
            <w:r w:rsidRPr="00C853A7">
              <w:rPr>
                <w:rFonts w:hint="eastAsia"/>
              </w:rPr>
              <w:t>介</w:t>
            </w:r>
            <w:proofErr w:type="gramEnd"/>
            <w:r w:rsidRPr="00C853A7">
              <w:rPr>
                <w:rFonts w:hint="eastAsia"/>
              </w:rPr>
              <w:t xml:space="preserve"> </w:t>
            </w:r>
            <w:r w:rsidRPr="00C853A7">
              <w:rPr>
                <w:rFonts w:hint="eastAsia"/>
              </w:rPr>
              <w:br/>
            </w:r>
            <w:r w:rsidRPr="00C853A7">
              <w:rPr>
                <w:rFonts w:hint="eastAsia"/>
              </w:rPr>
              <w:t>︶</w:t>
            </w:r>
            <w:r w:rsidRPr="00C853A7">
              <w:rPr>
                <w:rFonts w:hint="eastAsia"/>
              </w:rPr>
              <w:t xml:space="preserve"> </w:t>
            </w:r>
          </w:p>
        </w:tc>
        <w:tc>
          <w:tcPr>
            <w:tcW w:w="0" w:type="auto"/>
            <w:gridSpan w:val="4"/>
            <w:tcBorders>
              <w:top w:val="nil"/>
              <w:left w:val="outset" w:sz="6" w:space="0" w:color="auto"/>
              <w:bottom w:val="outset" w:sz="6" w:space="0" w:color="auto"/>
              <w:right w:val="outset" w:sz="6" w:space="0" w:color="auto"/>
            </w:tcBorders>
            <w:vAlign w:val="center"/>
            <w:hideMark/>
          </w:tcPr>
          <w:p w:rsidR="00C853A7" w:rsidRPr="00C853A7" w:rsidRDefault="00C853A7" w:rsidP="00C853A7">
            <w:pPr>
              <w:rPr>
                <w:rFonts w:hint="eastAsia"/>
              </w:rPr>
            </w:pPr>
            <w:r w:rsidRPr="00C853A7">
              <w:rPr>
                <w:rFonts w:hint="eastAsia"/>
              </w:rPr>
              <w:t xml:space="preserve">    </w:t>
            </w:r>
            <w:r w:rsidRPr="00C853A7">
              <w:rPr>
                <w:rFonts w:hint="eastAsia"/>
              </w:rPr>
              <w:t>天津港爆炸发生后，关于涉事公司“神秘背景”的谣言成为事故的“次生灾害”，网上甚至有传言将瑞海公司的控制人与现任或退任国家领导、天津市领导勾连，不断挑动舆论神经。</w:t>
            </w:r>
          </w:p>
          <w:p w:rsidR="00C853A7" w:rsidRPr="00C853A7" w:rsidRDefault="00C853A7" w:rsidP="00C853A7">
            <w:pPr>
              <w:rPr>
                <w:rFonts w:hint="eastAsia"/>
              </w:rPr>
            </w:pPr>
            <w:r w:rsidRPr="00C853A7">
              <w:rPr>
                <w:rFonts w:hint="eastAsia"/>
              </w:rPr>
              <w:t xml:space="preserve">    </w:t>
            </w:r>
            <w:r w:rsidRPr="00C853A7">
              <w:rPr>
                <w:rFonts w:hint="eastAsia"/>
              </w:rPr>
              <w:t>为调查真相，回应舆论关切，记者克服重重困难和阻力想方设法突破，独家采访到天津市安监、规划、滨海新区等部门的有关负责人，并成功拿到相关审批文件，获得环评报告、工商登记、消防鉴定意见书、港口经营批复等核心文件。针对瑞海公司关键人物均处于警方控制之中，相关部门选择缄口不言，记者又多方协调突破，终于获得独家采访机会。</w:t>
            </w:r>
          </w:p>
          <w:p w:rsidR="00000000" w:rsidRPr="00C853A7" w:rsidRDefault="00C853A7" w:rsidP="00C853A7">
            <w:r w:rsidRPr="00C853A7">
              <w:rPr>
                <w:rFonts w:hint="eastAsia"/>
              </w:rPr>
              <w:t xml:space="preserve">    </w:t>
            </w:r>
            <w:r w:rsidRPr="00C853A7">
              <w:rPr>
                <w:rFonts w:hint="eastAsia"/>
              </w:rPr>
              <w:t>记者深入医院病房和看守所独家采访瑞海公司董事长于学伟等五大核心人物，清晰揭示瑞海公司不为人知的股东结构</w:t>
            </w:r>
            <w:proofErr w:type="gramStart"/>
            <w:r w:rsidRPr="00C853A7">
              <w:rPr>
                <w:rFonts w:hint="eastAsia"/>
              </w:rPr>
              <w:t>和代持关系</w:t>
            </w:r>
            <w:proofErr w:type="gramEnd"/>
            <w:r w:rsidRPr="00C853A7">
              <w:rPr>
                <w:rFonts w:hint="eastAsia"/>
              </w:rPr>
              <w:t>，厘清几大核心人物的基本履历和背景关系，还原瑞海公司获得从事</w:t>
            </w:r>
            <w:proofErr w:type="gramStart"/>
            <w:r w:rsidRPr="00C853A7">
              <w:rPr>
                <w:rFonts w:hint="eastAsia"/>
              </w:rPr>
              <w:t>危化品</w:t>
            </w:r>
            <w:proofErr w:type="gramEnd"/>
            <w:r w:rsidRPr="00C853A7">
              <w:rPr>
                <w:rFonts w:hint="eastAsia"/>
              </w:rPr>
              <w:t>仓储资格的过程，并明确指出相关审批和管理部门存在的违规问题以及瑞海公司“无证裸奔”情况。报道调查深入，采访扎实，事实独家，写作精良。</w:t>
            </w:r>
          </w:p>
        </w:tc>
      </w:tr>
      <w:tr w:rsidR="00C853A7" w:rsidRPr="00C853A7" w:rsidTr="00C853A7">
        <w:trPr>
          <w:trHeight w:val="22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C853A7" w:rsidRDefault="00C853A7" w:rsidP="00C853A7">
            <w:r w:rsidRPr="00C853A7">
              <w:rPr>
                <w:rFonts w:hint="eastAsia"/>
              </w:rPr>
              <w:lastRenderedPageBreak/>
              <w:t>社</w:t>
            </w:r>
            <w:r w:rsidRPr="00C853A7">
              <w:rPr>
                <w:rFonts w:hint="eastAsia"/>
              </w:rPr>
              <w:t xml:space="preserve"> </w:t>
            </w:r>
            <w:r w:rsidRPr="00C853A7">
              <w:rPr>
                <w:rFonts w:hint="eastAsia"/>
              </w:rPr>
              <w:br/>
            </w:r>
            <w:r w:rsidRPr="00C853A7">
              <w:rPr>
                <w:rFonts w:hint="eastAsia"/>
              </w:rPr>
              <w:t>会</w:t>
            </w:r>
            <w:r w:rsidRPr="00C853A7">
              <w:rPr>
                <w:rFonts w:hint="eastAsia"/>
              </w:rPr>
              <w:t xml:space="preserve"> </w:t>
            </w:r>
            <w:r w:rsidRPr="00C853A7">
              <w:rPr>
                <w:rFonts w:hint="eastAsia"/>
              </w:rPr>
              <w:br/>
            </w:r>
            <w:r w:rsidRPr="00C853A7">
              <w:rPr>
                <w:rFonts w:hint="eastAsia"/>
              </w:rPr>
              <w:t>效</w:t>
            </w:r>
            <w:r w:rsidRPr="00C853A7">
              <w:rPr>
                <w:rFonts w:hint="eastAsia"/>
              </w:rPr>
              <w:t xml:space="preserve"> </w:t>
            </w:r>
            <w:r w:rsidRPr="00C853A7">
              <w:rPr>
                <w:rFonts w:hint="eastAsia"/>
              </w:rPr>
              <w:br/>
            </w:r>
            <w:r w:rsidRPr="00C853A7">
              <w:rPr>
                <w:rFonts w:hint="eastAsia"/>
              </w:rPr>
              <w:t>果</w:t>
            </w:r>
            <w:r w:rsidRPr="00C853A7">
              <w:rPr>
                <w:rFonts w:hint="eastAsia"/>
              </w:rPr>
              <w:t xml:space="preserve"> </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pPr>
              <w:rPr>
                <w:rFonts w:hint="eastAsia"/>
              </w:rPr>
            </w:pPr>
            <w:r w:rsidRPr="00C853A7">
              <w:rPr>
                <w:rFonts w:hint="eastAsia"/>
              </w:rPr>
              <w:t xml:space="preserve">    </w:t>
            </w:r>
            <w:r w:rsidRPr="00C853A7">
              <w:rPr>
                <w:rFonts w:hint="eastAsia"/>
              </w:rPr>
              <w:t>该独家报道一经播发，在众声喧哗中对平息爆炸谣言起到一锤定音作用。</w:t>
            </w:r>
          </w:p>
          <w:p w:rsidR="00C853A7" w:rsidRPr="00C853A7" w:rsidRDefault="00C853A7" w:rsidP="00C853A7">
            <w:pPr>
              <w:rPr>
                <w:rFonts w:hint="eastAsia"/>
              </w:rPr>
            </w:pPr>
            <w:r w:rsidRPr="00C853A7">
              <w:rPr>
                <w:rFonts w:hint="eastAsia"/>
              </w:rPr>
              <w:t xml:space="preserve">    </w:t>
            </w:r>
            <w:r w:rsidRPr="00C853A7">
              <w:rPr>
                <w:rFonts w:hint="eastAsia"/>
              </w:rPr>
              <w:t>本报道成为当天很多报纸的“镇版之作”，获得《新华每日电讯》《中国青年报》等</w:t>
            </w:r>
            <w:r w:rsidRPr="00C853A7">
              <w:rPr>
                <w:rFonts w:hint="eastAsia"/>
              </w:rPr>
              <w:t>375</w:t>
            </w:r>
            <w:r w:rsidRPr="00C853A7">
              <w:rPr>
                <w:rFonts w:hint="eastAsia"/>
              </w:rPr>
              <w:t>家纳入新华社发稿系统统计的媒体采用，网络转载量高达上万家。文字报道、图表报道和视频报道协同配合，传统线路报道与新媒体报道共同发力，社办报刊、网络和客户端全面展示。</w:t>
            </w:r>
          </w:p>
          <w:p w:rsidR="00C853A7" w:rsidRPr="00C853A7" w:rsidRDefault="00C853A7" w:rsidP="00C853A7">
            <w:pPr>
              <w:rPr>
                <w:rFonts w:hint="eastAsia"/>
              </w:rPr>
            </w:pPr>
            <w:r w:rsidRPr="00C853A7">
              <w:rPr>
                <w:rFonts w:hint="eastAsia"/>
              </w:rPr>
              <w:t xml:space="preserve">    </w:t>
            </w:r>
            <w:r w:rsidRPr="00C853A7">
              <w:rPr>
                <w:rFonts w:hint="eastAsia"/>
              </w:rPr>
              <w:t>同时，该报道也成为当天新媒体传播方面的“刷屏之作”，不仅全面覆盖当日各大网站头条，成为新</w:t>
            </w:r>
            <w:proofErr w:type="gramStart"/>
            <w:r w:rsidRPr="00C853A7">
              <w:rPr>
                <w:rFonts w:hint="eastAsia"/>
              </w:rPr>
              <w:t>浪微博</w:t>
            </w:r>
            <w:proofErr w:type="gramEnd"/>
            <w:r w:rsidRPr="00C853A7">
              <w:rPr>
                <w:rFonts w:hint="eastAsia"/>
              </w:rPr>
              <w:t>热点，</w:t>
            </w:r>
            <w:proofErr w:type="gramStart"/>
            <w:r w:rsidRPr="00C853A7">
              <w:rPr>
                <w:rFonts w:hint="eastAsia"/>
              </w:rPr>
              <w:t>被微信公众号、微信朋友圈大量</w:t>
            </w:r>
            <w:proofErr w:type="gramEnd"/>
            <w:r w:rsidRPr="00C853A7">
              <w:rPr>
                <w:rFonts w:hint="eastAsia"/>
              </w:rPr>
              <w:t>转发。东方卫视、黑龙江卫视、湖南卫视等电视台迅速跟进，中央电视台“新闻１＋１”栏目专门与记者进行了连线报道。</w:t>
            </w:r>
          </w:p>
          <w:p w:rsidR="00000000" w:rsidRPr="00C853A7" w:rsidRDefault="00C853A7" w:rsidP="00C853A7">
            <w:r w:rsidRPr="00C853A7">
              <w:rPr>
                <w:rFonts w:hint="eastAsia"/>
              </w:rPr>
              <w:t xml:space="preserve">    </w:t>
            </w:r>
            <w:r w:rsidRPr="00C853A7">
              <w:rPr>
                <w:rFonts w:hint="eastAsia"/>
              </w:rPr>
              <w:t>此组报道，有力击碎了谣言，有效引导了舆论。领导机关</w:t>
            </w:r>
            <w:proofErr w:type="gramStart"/>
            <w:r w:rsidRPr="00C853A7">
              <w:rPr>
                <w:rFonts w:hint="eastAsia"/>
              </w:rPr>
              <w:t>评价此</w:t>
            </w:r>
            <w:proofErr w:type="gramEnd"/>
            <w:r w:rsidRPr="00C853A7">
              <w:rPr>
                <w:rFonts w:hint="eastAsia"/>
              </w:rPr>
              <w:t>报道一锤定音。曾联系采访时一度表示担忧和不配合的天津市有关领导和部门也</w:t>
            </w:r>
            <w:proofErr w:type="gramStart"/>
            <w:r w:rsidRPr="00C853A7">
              <w:rPr>
                <w:rFonts w:hint="eastAsia"/>
              </w:rPr>
              <w:t>对此组</w:t>
            </w:r>
            <w:proofErr w:type="gramEnd"/>
            <w:r w:rsidRPr="00C853A7">
              <w:rPr>
                <w:rFonts w:hint="eastAsia"/>
              </w:rPr>
              <w:t>报道表示感谢，认为起到了“定音鼓”的作用。</w:t>
            </w:r>
          </w:p>
        </w:tc>
      </w:tr>
      <w:tr w:rsidR="00C853A7" w:rsidRPr="00C853A7" w:rsidTr="00C853A7">
        <w:trPr>
          <w:trHeight w:val="22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Pr="00C853A7" w:rsidRDefault="00C853A7" w:rsidP="00C853A7">
            <w:r w:rsidRPr="00C853A7">
              <w:rPr>
                <w:rFonts w:hint="eastAsia"/>
              </w:rPr>
              <w:t>推</w:t>
            </w:r>
            <w:r w:rsidRPr="00C853A7">
              <w:rPr>
                <w:rFonts w:hint="eastAsia"/>
              </w:rPr>
              <w:t xml:space="preserve"> </w:t>
            </w:r>
            <w:r w:rsidRPr="00C853A7">
              <w:rPr>
                <w:rFonts w:hint="eastAsia"/>
              </w:rPr>
              <w:br/>
            </w:r>
            <w:r w:rsidRPr="00C853A7">
              <w:rPr>
                <w:rFonts w:hint="eastAsia"/>
              </w:rPr>
              <w:t>荐</w:t>
            </w:r>
            <w:r w:rsidRPr="00C853A7">
              <w:rPr>
                <w:rFonts w:hint="eastAsia"/>
              </w:rPr>
              <w:t xml:space="preserve"> </w:t>
            </w:r>
            <w:r w:rsidRPr="00C853A7">
              <w:rPr>
                <w:rFonts w:hint="eastAsia"/>
              </w:rPr>
              <w:br/>
            </w:r>
            <w:r w:rsidRPr="00C853A7">
              <w:rPr>
                <w:rFonts w:hint="eastAsia"/>
              </w:rPr>
              <w:t>理</w:t>
            </w:r>
            <w:r w:rsidRPr="00C853A7">
              <w:rPr>
                <w:rFonts w:hint="eastAsia"/>
              </w:rPr>
              <w:t xml:space="preserve"> </w:t>
            </w:r>
            <w:r w:rsidRPr="00C853A7">
              <w:rPr>
                <w:rFonts w:hint="eastAsia"/>
              </w:rPr>
              <w:br/>
            </w:r>
            <w:r w:rsidRPr="00C853A7">
              <w:rPr>
                <w:rFonts w:hint="eastAsia"/>
              </w:rPr>
              <w:t>由</w:t>
            </w:r>
            <w:r w:rsidRPr="00C853A7">
              <w:rPr>
                <w:rFonts w:hint="eastAsia"/>
              </w:rPr>
              <w:t xml:space="preserve"> </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r w:rsidRPr="00C853A7">
              <w:rPr>
                <w:rFonts w:hint="eastAsia"/>
              </w:rPr>
              <w:t>该报道突破重重采访困难，对重大灾难伴生的“舆情灾害”中果断出击，深入调查，第一时间回应公众关切，最大限度还原事故真相，通过报道的影响力和传播</w:t>
            </w:r>
            <w:proofErr w:type="gramStart"/>
            <w:r w:rsidRPr="00C853A7">
              <w:rPr>
                <w:rFonts w:hint="eastAsia"/>
              </w:rPr>
              <w:t>力有效</w:t>
            </w:r>
            <w:proofErr w:type="gramEnd"/>
            <w:r w:rsidRPr="00C853A7">
              <w:rPr>
                <w:rFonts w:hint="eastAsia"/>
              </w:rPr>
              <w:t>引导了舆论。</w:t>
            </w:r>
          </w:p>
          <w:p w:rsidR="00C853A7" w:rsidRPr="00C853A7" w:rsidRDefault="00C853A7" w:rsidP="00C853A7">
            <w:r w:rsidRPr="00C853A7">
              <w:rPr>
                <w:rFonts w:hint="eastAsia"/>
              </w:rPr>
              <w:t>签名：</w:t>
            </w:r>
            <w:r w:rsidRPr="00C853A7">
              <w:rPr>
                <w:rFonts w:hint="eastAsia"/>
              </w:rPr>
              <w:t xml:space="preserve">         </w:t>
            </w:r>
            <w:r w:rsidRPr="00C853A7">
              <w:rPr>
                <w:rFonts w:hint="eastAsia"/>
              </w:rPr>
              <w:br/>
              <w:t>2016</w:t>
            </w:r>
            <w:r w:rsidRPr="00C853A7">
              <w:rPr>
                <w:rFonts w:hint="eastAsia"/>
              </w:rPr>
              <w:t>年</w:t>
            </w:r>
            <w:r w:rsidRPr="00C853A7">
              <w:rPr>
                <w:rFonts w:hint="eastAsia"/>
              </w:rPr>
              <w:t xml:space="preserve"> </w:t>
            </w:r>
            <w:r w:rsidRPr="00C853A7">
              <w:rPr>
                <w:rFonts w:hint="eastAsia"/>
              </w:rPr>
              <w:t>月</w:t>
            </w:r>
            <w:r w:rsidRPr="00C853A7">
              <w:rPr>
                <w:rFonts w:hint="eastAsia"/>
              </w:rPr>
              <w:t xml:space="preserve"> </w:t>
            </w:r>
            <w:r w:rsidRPr="00C853A7">
              <w:rPr>
                <w:rFonts w:hint="eastAsia"/>
              </w:rPr>
              <w:t>日</w:t>
            </w:r>
            <w:r w:rsidRPr="00C853A7">
              <w:rPr>
                <w:rFonts w:hint="eastAsia"/>
              </w:rPr>
              <w:t xml:space="preserve">     </w:t>
            </w:r>
          </w:p>
        </w:tc>
      </w:tr>
      <w:tr w:rsidR="00C853A7" w:rsidRPr="00C853A7" w:rsidTr="00C853A7">
        <w:trPr>
          <w:trHeight w:val="750"/>
          <w:jc w:val="center"/>
        </w:trPr>
        <w:tc>
          <w:tcPr>
            <w:tcW w:w="0" w:type="auto"/>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联系人</w:t>
            </w:r>
            <w:r w:rsidRPr="00C853A7">
              <w:rPr>
                <w:rFonts w:hint="eastAsia"/>
              </w:rPr>
              <w:t xml:space="preserve"> </w:t>
            </w:r>
          </w:p>
        </w:tc>
        <w:tc>
          <w:tcPr>
            <w:tcW w:w="0" w:type="auto"/>
            <w:gridSpan w:val="2"/>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c>
          <w:tcPr>
            <w:tcW w:w="0" w:type="auto"/>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手机</w:t>
            </w:r>
            <w:r w:rsidRPr="00C853A7">
              <w:rPr>
                <w:rFonts w:hint="eastAsia"/>
              </w:rPr>
              <w:t xml:space="preserve"> </w:t>
            </w:r>
          </w:p>
        </w:tc>
        <w:tc>
          <w:tcPr>
            <w:tcW w:w="0" w:type="auto"/>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r>
      <w:tr w:rsidR="00C853A7" w:rsidRPr="00C853A7" w:rsidTr="00C853A7">
        <w:trPr>
          <w:trHeight w:val="750"/>
          <w:jc w:val="center"/>
        </w:trPr>
        <w:tc>
          <w:tcPr>
            <w:tcW w:w="500" w:type="pct"/>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电话</w:t>
            </w:r>
            <w:r w:rsidRPr="00C853A7">
              <w:rPr>
                <w:rFonts w:hint="eastAsia"/>
              </w:rPr>
              <w:t xml:space="preserve"> </w:t>
            </w:r>
          </w:p>
        </w:tc>
        <w:tc>
          <w:tcPr>
            <w:tcW w:w="2500" w:type="pct"/>
            <w:tcBorders>
              <w:top w:val="nil"/>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E-mail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r>
      <w:tr w:rsidR="00C853A7" w:rsidRPr="00C853A7" w:rsidTr="00C853A7">
        <w:trPr>
          <w:trHeight w:val="7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地址</w:t>
            </w:r>
            <w:r w:rsidRPr="00C853A7">
              <w:rPr>
                <w:rFonts w:hint="eastAsia"/>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邮编</w:t>
            </w:r>
            <w:r w:rsidRPr="00C853A7">
              <w:rPr>
                <w:rFonts w:hint="eastAsia"/>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 xml:space="preserve">    </w:t>
            </w:r>
          </w:p>
        </w:tc>
      </w:tr>
    </w:tbl>
    <w:p w:rsidR="00C853A7" w:rsidRPr="00C853A7" w:rsidRDefault="00C853A7" w:rsidP="00C853A7">
      <w:pPr>
        <w:rPr>
          <w:vanish/>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C853A7" w:rsidRPr="00C853A7" w:rsidTr="00C853A7">
        <w:trPr>
          <w:jc w:val="center"/>
        </w:trPr>
        <w:tc>
          <w:tcPr>
            <w:tcW w:w="0" w:type="auto"/>
            <w:vAlign w:val="center"/>
            <w:hideMark/>
          </w:tcPr>
          <w:p w:rsidR="00C853A7" w:rsidRPr="00C853A7" w:rsidRDefault="00C853A7" w:rsidP="00C853A7">
            <w:bookmarkStart w:id="0" w:name="_GoBack"/>
            <w:bookmarkEnd w:id="0"/>
          </w:p>
        </w:tc>
      </w:tr>
    </w:tbl>
    <w:p w:rsidR="00C853A7" w:rsidRPr="00C853A7" w:rsidRDefault="00C853A7" w:rsidP="00C853A7">
      <w:pPr>
        <w:rPr>
          <w:vanish/>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C853A7" w:rsidRPr="00C853A7" w:rsidTr="00C853A7">
        <w:trPr>
          <w:jc w:val="center"/>
        </w:trPr>
        <w:tc>
          <w:tcPr>
            <w:tcW w:w="0" w:type="auto"/>
            <w:vAlign w:val="center"/>
            <w:hideMark/>
          </w:tcPr>
          <w:p w:rsidR="00C853A7" w:rsidRPr="00C853A7" w:rsidRDefault="00C853A7" w:rsidP="00C853A7">
            <w:r w:rsidRPr="00C853A7">
              <w:rPr>
                <w:rFonts w:hint="eastAsia"/>
              </w:rPr>
              <w:t>失控的“炸药包”</w:t>
            </w:r>
            <w:r w:rsidRPr="00C853A7">
              <w:rPr>
                <w:rFonts w:hint="eastAsia"/>
              </w:rPr>
              <w:t xml:space="preserve"> </w:t>
            </w:r>
            <w:r w:rsidRPr="00C853A7">
              <w:rPr>
                <w:rFonts w:hint="eastAsia"/>
              </w:rPr>
              <w:t>集体作者</w:t>
            </w:r>
            <w:r w:rsidRPr="00C853A7">
              <w:rPr>
                <w:rFonts w:hint="eastAsia"/>
              </w:rPr>
              <w:t>(</w:t>
            </w:r>
            <w:r w:rsidRPr="00C853A7">
              <w:rPr>
                <w:rFonts w:hint="eastAsia"/>
              </w:rPr>
              <w:t>主创人员名单</w:t>
            </w:r>
            <w:r w:rsidRPr="00C853A7">
              <w:rPr>
                <w:rFonts w:hint="eastAsia"/>
              </w:rPr>
              <w:t xml:space="preserve">) </w:t>
            </w:r>
          </w:p>
        </w:tc>
      </w:tr>
    </w:tbl>
    <w:p w:rsidR="00C853A7" w:rsidRPr="00C853A7" w:rsidRDefault="00C853A7" w:rsidP="00C853A7">
      <w:pPr>
        <w:rPr>
          <w:vanish/>
        </w:rPr>
      </w:pPr>
    </w:p>
    <w:tbl>
      <w:tblPr>
        <w:tblW w:w="3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02"/>
      </w:tblGrid>
      <w:tr w:rsidR="00C853A7" w:rsidRPr="00C853A7" w:rsidTr="00C853A7">
        <w:trPr>
          <w:trHeight w:val="4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r w:rsidRPr="00C853A7">
              <w:rPr>
                <w:rFonts w:hint="eastAsia"/>
              </w:rPr>
              <w:t>集体作者</w:t>
            </w:r>
            <w:r w:rsidRPr="00C853A7">
              <w:rPr>
                <w:rFonts w:hint="eastAsia"/>
              </w:rPr>
              <w:t>(</w:t>
            </w:r>
            <w:r w:rsidRPr="00C853A7">
              <w:rPr>
                <w:rFonts w:hint="eastAsia"/>
              </w:rPr>
              <w:t>主创人员</w:t>
            </w:r>
            <w:r w:rsidRPr="00C853A7">
              <w:rPr>
                <w:rFonts w:hint="eastAsia"/>
              </w:rPr>
              <w:t>)</w:t>
            </w:r>
            <w:r w:rsidRPr="00C853A7">
              <w:rPr>
                <w:rFonts w:hint="eastAsia"/>
              </w:rPr>
              <w:t>姓名</w:t>
            </w:r>
          </w:p>
        </w:tc>
      </w:tr>
      <w:tr w:rsidR="00C853A7" w:rsidRPr="00C853A7" w:rsidTr="00C853A7">
        <w:trPr>
          <w:trHeight w:val="450"/>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853A7" w:rsidRPr="00C853A7" w:rsidRDefault="00C853A7" w:rsidP="00C853A7">
            <w:proofErr w:type="gramStart"/>
            <w:r w:rsidRPr="00C853A7">
              <w:rPr>
                <w:rFonts w:hint="eastAsia"/>
              </w:rPr>
              <w:t>牛纪伟</w:t>
            </w:r>
            <w:proofErr w:type="gramEnd"/>
            <w:r w:rsidRPr="00C853A7">
              <w:rPr>
                <w:rFonts w:hint="eastAsia"/>
              </w:rPr>
              <w:t>、邓中豪、付光宇、李鲲、翟永冠</w:t>
            </w:r>
            <w:r w:rsidRPr="00C853A7">
              <w:rPr>
                <w:rFonts w:hint="eastAsia"/>
              </w:rPr>
              <w:t xml:space="preserve"> </w:t>
            </w:r>
          </w:p>
        </w:tc>
      </w:tr>
    </w:tbl>
    <w:p w:rsidR="00137035" w:rsidRPr="00C853A7" w:rsidRDefault="00137035"/>
    <w:sectPr w:rsidR="00137035" w:rsidRPr="00C853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3A7"/>
    <w:rsid w:val="00137035"/>
    <w:rsid w:val="00C85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18663">
      <w:bodyDiv w:val="1"/>
      <w:marLeft w:val="0"/>
      <w:marRight w:val="0"/>
      <w:marTop w:val="0"/>
      <w:marBottom w:val="0"/>
      <w:divBdr>
        <w:top w:val="none" w:sz="0" w:space="0" w:color="auto"/>
        <w:left w:val="none" w:sz="0" w:space="0" w:color="auto"/>
        <w:bottom w:val="none" w:sz="0" w:space="0" w:color="auto"/>
        <w:right w:val="none" w:sz="0" w:space="0" w:color="auto"/>
      </w:divBdr>
      <w:divsChild>
        <w:div w:id="1868449882">
          <w:marLeft w:val="0"/>
          <w:marRight w:val="3000"/>
          <w:marTop w:val="0"/>
          <w:marBottom w:val="0"/>
          <w:divBdr>
            <w:top w:val="none" w:sz="0" w:space="0" w:color="auto"/>
            <w:left w:val="none" w:sz="0" w:space="0" w:color="auto"/>
            <w:bottom w:val="none" w:sz="0" w:space="0" w:color="auto"/>
            <w:right w:val="none" w:sz="0" w:space="0" w:color="auto"/>
          </w:divBdr>
        </w:div>
        <w:div w:id="197717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1054</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PJ-2</dc:creator>
  <cp:lastModifiedBy>PJ-2</cp:lastModifiedBy>
  <cp:revision>1</cp:revision>
  <dcterms:created xsi:type="dcterms:W3CDTF">2016-06-13T01:07:00Z</dcterms:created>
  <dcterms:modified xsi:type="dcterms:W3CDTF">2016-06-13T01:08:00Z</dcterms:modified>
</cp:coreProperties>
</file>